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83" w:rsidRPr="007D7F83" w:rsidRDefault="007D7F83" w:rsidP="007D7F83">
      <w:pPr>
        <w:jc w:val="right"/>
        <w:rPr>
          <w:rFonts w:eastAsiaTheme="minorEastAsia"/>
          <w:b/>
          <w:bCs/>
          <w:sz w:val="20"/>
          <w:szCs w:val="22"/>
          <w:lang w:eastAsia="en-US"/>
        </w:rPr>
      </w:pPr>
      <w:r w:rsidRPr="007D7F83">
        <w:rPr>
          <w:rFonts w:eastAsiaTheme="minorEastAsia"/>
          <w:b/>
          <w:bCs/>
          <w:sz w:val="20"/>
          <w:szCs w:val="22"/>
          <w:lang w:eastAsia="en-US"/>
        </w:rPr>
        <w:t>Приложение № 10</w:t>
      </w:r>
    </w:p>
    <w:p w:rsidR="007D7F83" w:rsidRPr="007D7F83" w:rsidRDefault="007D7F83" w:rsidP="007D7F83">
      <w:pPr>
        <w:jc w:val="right"/>
        <w:rPr>
          <w:rFonts w:asciiTheme="minorHAnsi" w:eastAsiaTheme="minorEastAsia" w:hAnsiTheme="minorHAnsi" w:cstheme="minorBidi"/>
          <w:b/>
          <w:bCs/>
          <w:sz w:val="20"/>
          <w:szCs w:val="22"/>
          <w:lang w:eastAsia="en-US"/>
        </w:rPr>
      </w:pPr>
      <w:r w:rsidRPr="007D7F83">
        <w:rPr>
          <w:rFonts w:asciiTheme="minorHAnsi" w:eastAsiaTheme="minorEastAsia" w:hAnsiTheme="minorHAnsi" w:cstheme="minorBidi"/>
          <w:b/>
          <w:bCs/>
          <w:sz w:val="20"/>
          <w:szCs w:val="22"/>
          <w:lang w:eastAsia="en-US"/>
        </w:rPr>
        <w:t xml:space="preserve">к Учетной политике                                                            </w:t>
      </w:r>
    </w:p>
    <w:p w:rsidR="007D7F83" w:rsidRPr="007D7F83" w:rsidRDefault="007D7F83" w:rsidP="007D7F83">
      <w:pPr>
        <w:jc w:val="right"/>
        <w:rPr>
          <w:rFonts w:asciiTheme="minorHAnsi" w:eastAsiaTheme="minorEastAsia" w:hAnsiTheme="minorHAnsi" w:cstheme="minorBidi"/>
          <w:b/>
          <w:bCs/>
          <w:sz w:val="20"/>
          <w:szCs w:val="22"/>
          <w:lang w:eastAsia="en-US"/>
        </w:rPr>
      </w:pPr>
      <w:r w:rsidRPr="007D7F83">
        <w:rPr>
          <w:rFonts w:asciiTheme="minorHAnsi" w:eastAsiaTheme="minorEastAsia" w:hAnsiTheme="minorHAnsi" w:cstheme="minorBidi"/>
          <w:b/>
          <w:bCs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 МБУ «СШОР Единоборств»</w:t>
      </w:r>
    </w:p>
    <w:p w:rsidR="007D7F83" w:rsidRPr="007D7F83" w:rsidRDefault="007D7F83" w:rsidP="007D7F83">
      <w:pPr>
        <w:jc w:val="right"/>
        <w:rPr>
          <w:rFonts w:asciiTheme="minorHAnsi" w:hAnsiTheme="minorHAnsi" w:cstheme="minorBidi"/>
          <w:sz w:val="22"/>
          <w:szCs w:val="22"/>
          <w:lang w:eastAsia="en-US"/>
        </w:rPr>
      </w:pPr>
      <w:r w:rsidRPr="007D7F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D7F83" w:rsidRPr="007D7F83" w:rsidRDefault="007D7F83" w:rsidP="007D7F83">
      <w:pPr>
        <w:widowControl w:val="0"/>
        <w:autoSpaceDE w:val="0"/>
        <w:autoSpaceDN w:val="0"/>
        <w:jc w:val="right"/>
        <w:rPr>
          <w:b/>
          <w:sz w:val="22"/>
          <w:szCs w:val="20"/>
        </w:rPr>
      </w:pPr>
      <w:r w:rsidRPr="007D7F83">
        <w:rPr>
          <w:b/>
          <w:sz w:val="22"/>
          <w:szCs w:val="20"/>
        </w:rPr>
        <w:t xml:space="preserve">                                                                                                                           УТВЕРЖДАЮ:</w:t>
      </w:r>
    </w:p>
    <w:p w:rsidR="007D7F83" w:rsidRPr="007D7F83" w:rsidRDefault="007D7F83" w:rsidP="007D7F83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D7F83">
        <w:rPr>
          <w:sz w:val="22"/>
          <w:szCs w:val="20"/>
        </w:rPr>
        <w:t>Директор МБУ «СШОР Единоборств»</w:t>
      </w:r>
    </w:p>
    <w:p w:rsidR="007D7F83" w:rsidRPr="007D7F83" w:rsidRDefault="007D7F83" w:rsidP="007D7F83">
      <w:pPr>
        <w:widowControl w:val="0"/>
        <w:autoSpaceDE w:val="0"/>
        <w:autoSpaceDN w:val="0"/>
        <w:jc w:val="right"/>
        <w:rPr>
          <w:sz w:val="12"/>
          <w:szCs w:val="20"/>
        </w:rPr>
      </w:pPr>
    </w:p>
    <w:p w:rsidR="007D7F83" w:rsidRPr="007D7F83" w:rsidRDefault="007D7F83" w:rsidP="007D7F83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D7F83">
        <w:rPr>
          <w:sz w:val="22"/>
          <w:szCs w:val="20"/>
        </w:rPr>
        <w:t xml:space="preserve"> _________________С.</w:t>
      </w:r>
      <w:r w:rsidR="006C2FE2">
        <w:rPr>
          <w:sz w:val="22"/>
          <w:szCs w:val="20"/>
        </w:rPr>
        <w:t>А</w:t>
      </w:r>
      <w:r w:rsidRPr="007D7F83">
        <w:rPr>
          <w:sz w:val="22"/>
          <w:szCs w:val="20"/>
        </w:rPr>
        <w:t xml:space="preserve">. </w:t>
      </w:r>
      <w:r w:rsidR="006C2FE2">
        <w:rPr>
          <w:sz w:val="22"/>
          <w:szCs w:val="20"/>
        </w:rPr>
        <w:t>Григорьев</w:t>
      </w:r>
    </w:p>
    <w:p w:rsidR="007D7F83" w:rsidRPr="007D7F83" w:rsidRDefault="007D7F83" w:rsidP="007D7F83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7D7F83" w:rsidRPr="007D7F83" w:rsidRDefault="007D7F83" w:rsidP="007D7F83">
      <w:pPr>
        <w:widowControl w:val="0"/>
        <w:autoSpaceDE w:val="0"/>
        <w:autoSpaceDN w:val="0"/>
        <w:spacing w:line="480" w:lineRule="auto"/>
        <w:jc w:val="right"/>
        <w:rPr>
          <w:sz w:val="22"/>
          <w:szCs w:val="20"/>
        </w:rPr>
      </w:pPr>
      <w:r w:rsidRPr="007D7F83">
        <w:rPr>
          <w:sz w:val="22"/>
          <w:szCs w:val="20"/>
        </w:rPr>
        <w:t xml:space="preserve">« </w:t>
      </w:r>
      <w:r w:rsidRPr="007D7F83">
        <w:rPr>
          <w:sz w:val="22"/>
          <w:szCs w:val="20"/>
        </w:rPr>
        <w:softHyphen/>
      </w:r>
      <w:r w:rsidRPr="007D7F83">
        <w:rPr>
          <w:sz w:val="22"/>
          <w:szCs w:val="20"/>
        </w:rPr>
        <w:softHyphen/>
      </w:r>
      <w:r w:rsidRPr="007D7F83">
        <w:rPr>
          <w:sz w:val="22"/>
          <w:szCs w:val="20"/>
        </w:rPr>
        <w:softHyphen/>
      </w:r>
      <w:r w:rsidRPr="007D7F83">
        <w:rPr>
          <w:sz w:val="22"/>
          <w:szCs w:val="20"/>
        </w:rPr>
        <w:softHyphen/>
        <w:t>____»  ______________  20 ___ г.</w:t>
      </w:r>
    </w:p>
    <w:p w:rsidR="004E109A" w:rsidRDefault="00581E0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Порядок</w:t>
      </w:r>
      <w:bookmarkStart w:id="0" w:name="_GoBack"/>
      <w:bookmarkEnd w:id="0"/>
    </w:p>
    <w:p w:rsidR="004E109A" w:rsidRDefault="00581E0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формирования и использования резервов предстоящих расходов</w:t>
      </w:r>
    </w:p>
    <w:p w:rsidR="004E109A" w:rsidRPr="007D7F83" w:rsidRDefault="004E109A">
      <w:pPr>
        <w:pStyle w:val="ConsPlusNormal"/>
        <w:jc w:val="both"/>
        <w:rPr>
          <w:rFonts w:ascii="Times New Roman" w:hAnsi="Times New Roman" w:cs="Times New Roman"/>
          <w:sz w:val="6"/>
        </w:rPr>
      </w:pPr>
    </w:p>
    <w:p w:rsidR="004E109A" w:rsidRDefault="00581E0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4E109A" w:rsidRPr="007D7F83" w:rsidRDefault="004E109A">
      <w:pPr>
        <w:pStyle w:val="ConsPlusNormal"/>
        <w:jc w:val="both"/>
        <w:rPr>
          <w:rFonts w:ascii="Times New Roman" w:hAnsi="Times New Roman" w:cs="Times New Roman"/>
          <w:sz w:val="4"/>
        </w:rPr>
      </w:pP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Настоящий Порядок устанавливает правила отражения в бухгалтерском учете муниципального бюджетного учреждения «</w:t>
      </w:r>
      <w:r w:rsidR="007D7F83">
        <w:rPr>
          <w:rFonts w:ascii="Times New Roman" w:hAnsi="Times New Roman" w:cs="Times New Roman"/>
        </w:rPr>
        <w:t>СШОР Единоборств</w:t>
      </w:r>
      <w:r>
        <w:rPr>
          <w:rFonts w:ascii="Times New Roman" w:hAnsi="Times New Roman" w:cs="Times New Roman"/>
        </w:rPr>
        <w:t xml:space="preserve">» (далее - Учреждение) информации о состоянии и движении сумм резервов предстоящих расходов, зарезервированных в целях равномерного включения расходов на финансовый результат Учреждения по обязательствам, не определенным по величине и (или) времени исполнения, в соответствии с положениями </w:t>
      </w:r>
      <w:r w:rsidR="00B056EC"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t xml:space="preserve"> № 157н.</w:t>
      </w:r>
    </w:p>
    <w:p w:rsidR="004E109A" w:rsidRDefault="00581E0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Виды формируемых резервов</w:t>
      </w:r>
    </w:p>
    <w:p w:rsidR="004E109A" w:rsidRPr="007D7F83" w:rsidRDefault="004E109A">
      <w:pPr>
        <w:pStyle w:val="ConsPlusNormal"/>
        <w:jc w:val="both"/>
        <w:rPr>
          <w:rFonts w:ascii="Times New Roman" w:hAnsi="Times New Roman" w:cs="Times New Roman"/>
          <w:sz w:val="6"/>
        </w:rPr>
      </w:pP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В Учреждении формируется резерв для предстоящей оплаты отпусков за фактически отработанное время и компенсаций за неиспользованный отпуск, включая платежи на обязательное социальное страхование работника Учреждения (далее - Резерв Учреждения).</w:t>
      </w:r>
    </w:p>
    <w:p w:rsidR="004E109A" w:rsidRPr="007D7F83" w:rsidRDefault="004E109A">
      <w:pPr>
        <w:pStyle w:val="ConsPlusNormal"/>
        <w:jc w:val="both"/>
        <w:rPr>
          <w:rFonts w:ascii="Times New Roman" w:hAnsi="Times New Roman" w:cs="Times New Roman"/>
          <w:sz w:val="2"/>
        </w:rPr>
      </w:pPr>
    </w:p>
    <w:p w:rsidR="004E109A" w:rsidRDefault="00581E0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Оценка обязательства и формирование резерва</w:t>
      </w:r>
    </w:p>
    <w:p w:rsidR="004E109A" w:rsidRPr="007D7F83" w:rsidRDefault="004E109A">
      <w:pPr>
        <w:pStyle w:val="ConsPlusNormal"/>
        <w:jc w:val="both"/>
        <w:rPr>
          <w:rFonts w:ascii="Times New Roman" w:hAnsi="Times New Roman" w:cs="Times New Roman"/>
          <w:sz w:val="2"/>
        </w:rPr>
      </w:pP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Оценка обязательства в связи с предстоящей оплатой отпусков и компенсаций за неиспользованный отпуск определяется на текущий год до 30 декабря предыдущего года.</w:t>
      </w: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Оценка обязательств осуществляется работником бухгалтерии на основании сведений, представленных специалистом по кадрам Учреждения о количестве полагающихся дней отпуска в следующем году по каждому работнику. Сведения предоставляются за подписью специалиста по кадрам до 20 декабря текущего </w:t>
      </w:r>
      <w:r w:rsidR="00B056EC">
        <w:rPr>
          <w:rFonts w:ascii="Times New Roman" w:hAnsi="Times New Roman" w:cs="Times New Roman"/>
        </w:rPr>
        <w:t>года. Форма сведений приведена в Приложении №1</w:t>
      </w:r>
      <w:r>
        <w:rPr>
          <w:rFonts w:ascii="Times New Roman" w:hAnsi="Times New Roman" w:cs="Times New Roman"/>
        </w:rPr>
        <w:t>.</w:t>
      </w: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обязательств осуществляется отдельно:</w:t>
      </w: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заработной плате для оплаты отпусков и компенсаций за неиспользованный отпуск;</w:t>
      </w: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сумме страховых взносов.</w:t>
      </w: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оценки обязательства по заработной плате производится по Учреждению в целом по формуле:</w:t>
      </w: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ООЗП = К x </w:t>
      </w:r>
      <w:proofErr w:type="spellStart"/>
      <w:r>
        <w:rPr>
          <w:rFonts w:ascii="Times New Roman" w:hAnsi="Times New Roman" w:cs="Times New Roman"/>
        </w:rPr>
        <w:t>ЗПср</w:t>
      </w:r>
      <w:proofErr w:type="spellEnd"/>
      <w:r>
        <w:rPr>
          <w:rFonts w:ascii="Times New Roman" w:hAnsi="Times New Roman" w:cs="Times New Roman"/>
        </w:rPr>
        <w:t>,</w:t>
      </w: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ООЗП - оценка обязательств по заработной плате;</w:t>
      </w: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- планируемое количество дней отпуска работников Учреждения в соответствующем году согласно сведениям специалиста по кадрам Учреждения;</w:t>
      </w: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ЗПср</w:t>
      </w:r>
      <w:proofErr w:type="spellEnd"/>
      <w:r>
        <w:rPr>
          <w:rFonts w:ascii="Times New Roman" w:hAnsi="Times New Roman" w:cs="Times New Roman"/>
        </w:rPr>
        <w:t xml:space="preserve"> - средняя заработная плата по всем сотрудникам Учреждения в целом.</w:t>
      </w: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обязательств по сумме страховых взносов рассчитывается в среднем по Учреждению по формуле:</w:t>
      </w: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ООСВ = ООЗП x С,</w:t>
      </w: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С - ставка страховых взносов.</w:t>
      </w: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Расчет оценки обязательств подписывается исполнителем и главным бухгалтером Учреждения.</w:t>
      </w: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Сумма резерва Учреждения формируется ежемесячно из расчета 1/12 величины оценки обязательства (с учетом суммы платежей на обязательное социальное страхование).</w:t>
      </w:r>
    </w:p>
    <w:p w:rsidR="004E109A" w:rsidRPr="007D7F83" w:rsidRDefault="004E109A">
      <w:pPr>
        <w:pStyle w:val="ConsPlusNormal"/>
        <w:jc w:val="both"/>
        <w:rPr>
          <w:rFonts w:ascii="Times New Roman" w:hAnsi="Times New Roman" w:cs="Times New Roman"/>
          <w:sz w:val="2"/>
        </w:rPr>
      </w:pPr>
    </w:p>
    <w:p w:rsidR="004E109A" w:rsidRDefault="00581E0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Использование и учет сумм резервов</w:t>
      </w:r>
    </w:p>
    <w:p w:rsidR="004E109A" w:rsidRPr="007D7F83" w:rsidRDefault="004E109A">
      <w:pPr>
        <w:pStyle w:val="ConsPlusNormal"/>
        <w:jc w:val="both"/>
        <w:rPr>
          <w:rFonts w:ascii="Times New Roman" w:hAnsi="Times New Roman" w:cs="Times New Roman"/>
          <w:sz w:val="2"/>
        </w:rPr>
      </w:pP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Резерв используется только на покрытие тех расходов, в отношении которых он был создан.</w:t>
      </w: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Признание в учете расходов, в отношении которых сформирован резерв, осуществляется за счет суммы созданного резерва Учреждения.</w:t>
      </w: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Операция по формированию резерва Учреждения отражается в бухгалтерском учете в первый рабочий день месяца, на который формируется резерв, в соответствии с положениями Инструкций </w:t>
      </w:r>
      <w:r w:rsidR="00B056EC">
        <w:rPr>
          <w:rFonts w:ascii="Times New Roman" w:hAnsi="Times New Roman" w:cs="Times New Roman"/>
        </w:rPr>
        <w:t xml:space="preserve">№157н </w:t>
      </w:r>
      <w:r>
        <w:rPr>
          <w:rFonts w:ascii="Times New Roman" w:hAnsi="Times New Roman" w:cs="Times New Roman"/>
        </w:rPr>
        <w:t xml:space="preserve"> и №.</w:t>
      </w:r>
      <w:r w:rsidR="00B056EC">
        <w:rPr>
          <w:rFonts w:ascii="Times New Roman" w:hAnsi="Times New Roman" w:cs="Times New Roman"/>
        </w:rPr>
        <w:t>174н.</w:t>
      </w:r>
    </w:p>
    <w:p w:rsidR="004E109A" w:rsidRDefault="00581E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При недостаточности сумм резерва осуществляется его изменение (уточнение).</w:t>
      </w:r>
    </w:p>
    <w:p w:rsidR="004E109A" w:rsidRDefault="004E109A">
      <w:pPr>
        <w:pStyle w:val="ConsPlusNormal"/>
        <w:jc w:val="both"/>
        <w:rPr>
          <w:rFonts w:ascii="Times New Roman" w:hAnsi="Times New Roman" w:cs="Times New Roman"/>
        </w:rPr>
      </w:pPr>
    </w:p>
    <w:p w:rsidR="004E109A" w:rsidRDefault="004E109A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p w:rsidR="004E109A" w:rsidRDefault="00581E0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4E109A" w:rsidRDefault="00581E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формирования и использования</w:t>
      </w:r>
    </w:p>
    <w:p w:rsidR="004E109A" w:rsidRDefault="00581E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резервов предстоящих расходов</w:t>
      </w:r>
    </w:p>
    <w:p w:rsidR="004E109A" w:rsidRDefault="004E109A">
      <w:pPr>
        <w:pStyle w:val="ConsPlusNormal"/>
        <w:jc w:val="both"/>
        <w:rPr>
          <w:rFonts w:ascii="Times New Roman" w:hAnsi="Times New Roman" w:cs="Times New Roman"/>
        </w:rPr>
      </w:pPr>
    </w:p>
    <w:p w:rsidR="004E109A" w:rsidRDefault="00581E07">
      <w:pPr>
        <w:pStyle w:val="ConsPlusNormal"/>
        <w:jc w:val="center"/>
        <w:rPr>
          <w:rFonts w:ascii="Times New Roman" w:hAnsi="Times New Roman" w:cs="Times New Roman"/>
        </w:rPr>
      </w:pPr>
      <w:bookmarkStart w:id="1" w:name="P4212"/>
      <w:bookmarkEnd w:id="1"/>
      <w:r>
        <w:rPr>
          <w:rFonts w:ascii="Times New Roman" w:hAnsi="Times New Roman" w:cs="Times New Roman"/>
        </w:rPr>
        <w:t>Сведения о планируемых отпусках</w:t>
      </w:r>
    </w:p>
    <w:p w:rsidR="004E109A" w:rsidRDefault="00581E0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 «</w:t>
      </w:r>
      <w:r w:rsidR="007D7F83">
        <w:rPr>
          <w:rFonts w:ascii="Times New Roman" w:hAnsi="Times New Roman" w:cs="Times New Roman"/>
        </w:rPr>
        <w:t>СШОР Единоборств</w:t>
      </w:r>
      <w:r>
        <w:rPr>
          <w:rFonts w:ascii="Times New Roman" w:hAnsi="Times New Roman" w:cs="Times New Roman"/>
        </w:rPr>
        <w:t>»</w:t>
      </w:r>
    </w:p>
    <w:p w:rsidR="004E109A" w:rsidRDefault="004E109A">
      <w:pPr>
        <w:pStyle w:val="ConsPlusNormal"/>
        <w:jc w:val="both"/>
        <w:rPr>
          <w:rFonts w:ascii="Times New Roman" w:hAnsi="Times New Roman" w:cs="Times New Roman"/>
        </w:rPr>
      </w:pPr>
    </w:p>
    <w:p w:rsidR="004E109A" w:rsidRDefault="00581E0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20__ г.</w:t>
      </w:r>
    </w:p>
    <w:p w:rsidR="004E109A" w:rsidRDefault="004E10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1361"/>
        <w:gridCol w:w="907"/>
        <w:gridCol w:w="1871"/>
        <w:gridCol w:w="2835"/>
      </w:tblGrid>
      <w:tr w:rsidR="004E109A">
        <w:tc>
          <w:tcPr>
            <w:tcW w:w="624" w:type="dxa"/>
            <w:vMerge w:val="restart"/>
          </w:tcPr>
          <w:p w:rsidR="004E109A" w:rsidRDefault="00581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74" w:type="dxa"/>
            <w:vMerge w:val="restart"/>
          </w:tcPr>
          <w:p w:rsidR="004E109A" w:rsidRDefault="00581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работника</w:t>
            </w:r>
          </w:p>
        </w:tc>
        <w:tc>
          <w:tcPr>
            <w:tcW w:w="1361" w:type="dxa"/>
            <w:vMerge w:val="restart"/>
          </w:tcPr>
          <w:p w:rsidR="004E109A" w:rsidRDefault="00581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613" w:type="dxa"/>
            <w:gridSpan w:val="3"/>
          </w:tcPr>
          <w:p w:rsidR="004E109A" w:rsidRDefault="00581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 отпуска</w:t>
            </w:r>
          </w:p>
        </w:tc>
      </w:tr>
      <w:tr w:rsidR="004E109A">
        <w:tc>
          <w:tcPr>
            <w:tcW w:w="624" w:type="dxa"/>
            <w:vMerge/>
          </w:tcPr>
          <w:p w:rsidR="004E109A" w:rsidRDefault="004E109A"/>
        </w:tc>
        <w:tc>
          <w:tcPr>
            <w:tcW w:w="1474" w:type="dxa"/>
            <w:vMerge/>
          </w:tcPr>
          <w:p w:rsidR="004E109A" w:rsidRDefault="004E109A"/>
        </w:tc>
        <w:tc>
          <w:tcPr>
            <w:tcW w:w="1361" w:type="dxa"/>
            <w:vMerge/>
          </w:tcPr>
          <w:p w:rsidR="004E109A" w:rsidRDefault="004E109A"/>
        </w:tc>
        <w:tc>
          <w:tcPr>
            <w:tcW w:w="907" w:type="dxa"/>
            <w:vMerge w:val="restart"/>
          </w:tcPr>
          <w:p w:rsidR="004E109A" w:rsidRDefault="00581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706" w:type="dxa"/>
            <w:gridSpan w:val="2"/>
          </w:tcPr>
          <w:p w:rsidR="004E109A" w:rsidRDefault="00581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E109A">
        <w:tc>
          <w:tcPr>
            <w:tcW w:w="624" w:type="dxa"/>
            <w:vMerge/>
          </w:tcPr>
          <w:p w:rsidR="004E109A" w:rsidRDefault="004E109A"/>
        </w:tc>
        <w:tc>
          <w:tcPr>
            <w:tcW w:w="1474" w:type="dxa"/>
            <w:vMerge/>
          </w:tcPr>
          <w:p w:rsidR="004E109A" w:rsidRDefault="004E109A"/>
        </w:tc>
        <w:tc>
          <w:tcPr>
            <w:tcW w:w="1361" w:type="dxa"/>
            <w:vMerge/>
          </w:tcPr>
          <w:p w:rsidR="004E109A" w:rsidRDefault="004E109A"/>
        </w:tc>
        <w:tc>
          <w:tcPr>
            <w:tcW w:w="907" w:type="dxa"/>
            <w:vMerge/>
          </w:tcPr>
          <w:p w:rsidR="004E109A" w:rsidRDefault="004E109A"/>
        </w:tc>
        <w:tc>
          <w:tcPr>
            <w:tcW w:w="1871" w:type="dxa"/>
          </w:tcPr>
          <w:p w:rsidR="004E109A" w:rsidRDefault="00581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планируемый год</w:t>
            </w:r>
          </w:p>
        </w:tc>
        <w:tc>
          <w:tcPr>
            <w:tcW w:w="2835" w:type="dxa"/>
          </w:tcPr>
          <w:p w:rsidR="004E109A" w:rsidRDefault="00581E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использованного за текущий и прошлые годы</w:t>
            </w:r>
          </w:p>
        </w:tc>
      </w:tr>
      <w:tr w:rsidR="004E109A">
        <w:tc>
          <w:tcPr>
            <w:tcW w:w="624" w:type="dxa"/>
          </w:tcPr>
          <w:p w:rsidR="004E109A" w:rsidRDefault="004E1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E109A" w:rsidRDefault="004E1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E109A" w:rsidRDefault="004E1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E109A" w:rsidRDefault="004E1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E109A" w:rsidRDefault="004E1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109A" w:rsidRDefault="004E1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109A" w:rsidRDefault="004E109A">
      <w:pPr>
        <w:pStyle w:val="ConsPlusNormal"/>
        <w:jc w:val="both"/>
        <w:rPr>
          <w:rFonts w:ascii="Times New Roman" w:hAnsi="Times New Roman" w:cs="Times New Roman"/>
        </w:rPr>
      </w:pPr>
    </w:p>
    <w:p w:rsidR="004E109A" w:rsidRDefault="00581E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Специалист по кадрам</w:t>
      </w:r>
      <w:r>
        <w:rPr>
          <w:rFonts w:ascii="Times New Roman" w:hAnsi="Times New Roman" w:cs="Times New Roman"/>
        </w:rPr>
        <w:t xml:space="preserve"> ________________________ (____________________)</w:t>
      </w:r>
    </w:p>
    <w:p w:rsidR="004E109A" w:rsidRDefault="00581E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подпись           расшифровка подписи</w:t>
      </w:r>
    </w:p>
    <w:p w:rsidR="004E109A" w:rsidRDefault="004E109A">
      <w:pPr>
        <w:pStyle w:val="ConsPlusNonformat"/>
        <w:jc w:val="both"/>
        <w:rPr>
          <w:rFonts w:ascii="Times New Roman" w:hAnsi="Times New Roman" w:cs="Times New Roman"/>
        </w:rPr>
      </w:pPr>
    </w:p>
    <w:p w:rsidR="004E109A" w:rsidRDefault="00581E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«___» _____________ 20__ г.</w:t>
      </w:r>
    </w:p>
    <w:p w:rsidR="004E109A" w:rsidRDefault="004E109A">
      <w:pPr>
        <w:pStyle w:val="ConsPlusNormal"/>
        <w:jc w:val="both"/>
        <w:rPr>
          <w:rFonts w:ascii="Times New Roman" w:hAnsi="Times New Roman" w:cs="Times New Roman"/>
        </w:rPr>
      </w:pPr>
    </w:p>
    <w:p w:rsidR="004E109A" w:rsidRDefault="004E109A">
      <w:pPr>
        <w:pStyle w:val="ConsPlusNormal"/>
        <w:jc w:val="both"/>
        <w:rPr>
          <w:rFonts w:ascii="Times New Roman" w:hAnsi="Times New Roman" w:cs="Times New Roman"/>
        </w:rPr>
      </w:pPr>
    </w:p>
    <w:p w:rsidR="004E109A" w:rsidRDefault="004E109A">
      <w:pPr>
        <w:pStyle w:val="ConsPlusNormal"/>
        <w:jc w:val="both"/>
        <w:rPr>
          <w:rFonts w:ascii="Times New Roman" w:hAnsi="Times New Roman" w:cs="Times New Roman"/>
        </w:rPr>
      </w:pPr>
    </w:p>
    <w:p w:rsidR="004E109A" w:rsidRDefault="004E109A"/>
    <w:sectPr w:rsidR="004E109A" w:rsidSect="007D7F83">
      <w:footerReference w:type="default" r:id="rId7"/>
      <w:pgSz w:w="11906" w:h="16838"/>
      <w:pgMar w:top="851" w:right="850" w:bottom="426" w:left="1701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F7" w:rsidRDefault="00184CF7">
      <w:r>
        <w:separator/>
      </w:r>
    </w:p>
  </w:endnote>
  <w:endnote w:type="continuationSeparator" w:id="0">
    <w:p w:rsidR="00184CF7" w:rsidRDefault="0018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9A" w:rsidRDefault="00581E0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872F3D" wp14:editId="272C16F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109A" w:rsidRDefault="004E109A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872F3D"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" filled="f" fillcolor="white [3201]" stroked="f" strokeweight=".5pt">
              <v:textbox style="mso-fit-shape-to-text:t" inset="0,0,0,0">
                <w:txbxContent>
                  <w:p w:rsidR="004E109A" w:rsidRDefault="004E109A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F7" w:rsidRDefault="00184CF7">
      <w:r>
        <w:separator/>
      </w:r>
    </w:p>
  </w:footnote>
  <w:footnote w:type="continuationSeparator" w:id="0">
    <w:p w:rsidR="00184CF7" w:rsidRDefault="0018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D6"/>
    <w:rsid w:val="000A714D"/>
    <w:rsid w:val="00184CF7"/>
    <w:rsid w:val="00226D03"/>
    <w:rsid w:val="004E109A"/>
    <w:rsid w:val="00581E07"/>
    <w:rsid w:val="005A72FD"/>
    <w:rsid w:val="00676EE6"/>
    <w:rsid w:val="006C2FE2"/>
    <w:rsid w:val="0072283C"/>
    <w:rsid w:val="007D7F83"/>
    <w:rsid w:val="00842ADD"/>
    <w:rsid w:val="008B60D6"/>
    <w:rsid w:val="009B6049"/>
    <w:rsid w:val="00B056EC"/>
    <w:rsid w:val="00DC42D2"/>
    <w:rsid w:val="00EA6807"/>
    <w:rsid w:val="0C28434B"/>
    <w:rsid w:val="10611D90"/>
    <w:rsid w:val="29173C13"/>
    <w:rsid w:val="366350AA"/>
    <w:rsid w:val="487978A7"/>
    <w:rsid w:val="587B6EB6"/>
    <w:rsid w:val="76F55BB2"/>
    <w:rsid w:val="77F43794"/>
    <w:rsid w:val="7B99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A3C04-EFE9-48C7-91D0-7F017088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qFormat/>
    <w:rPr>
      <w:b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7D7F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F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Учетная запись Майкрософт</cp:lastModifiedBy>
  <cp:revision>2</cp:revision>
  <cp:lastPrinted>2019-04-18T13:52:00Z</cp:lastPrinted>
  <dcterms:created xsi:type="dcterms:W3CDTF">2021-11-28T13:55:00Z</dcterms:created>
  <dcterms:modified xsi:type="dcterms:W3CDTF">2021-11-28T13:55:00Z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